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D1A3" w14:textId="373CEACF" w:rsidR="00E6239F" w:rsidRPr="008C6B9D" w:rsidRDefault="008C6B9D" w:rsidP="008C6B9D">
      <w:pPr>
        <w:jc w:val="center"/>
        <w:rPr>
          <w:b/>
          <w:bCs/>
          <w:u w:val="single"/>
          <w:lang w:val="fr-BE"/>
        </w:rPr>
      </w:pPr>
      <w:r w:rsidRPr="008C6B9D">
        <w:rPr>
          <w:b/>
          <w:bCs/>
          <w:u w:val="single"/>
          <w:lang w:val="fr-BE"/>
        </w:rPr>
        <w:t>Le nouveau droit de la preuve</w:t>
      </w:r>
    </w:p>
    <w:p w14:paraId="686C484C" w14:textId="2BF8D1D8" w:rsidR="008C6B9D" w:rsidRDefault="008C6B9D">
      <w:pPr>
        <w:rPr>
          <w:lang w:val="fr-BE"/>
        </w:rPr>
      </w:pPr>
      <w:r>
        <w:rPr>
          <w:lang w:val="fr-BE"/>
        </w:rPr>
        <w:t>Dans le cadre de la réforme du code civil, la question des éléments de preuves acceptables a été revu.</w:t>
      </w:r>
    </w:p>
    <w:p w14:paraId="555D1D74" w14:textId="66EB562B" w:rsidR="008C6B9D" w:rsidRDefault="008C6B9D">
      <w:pPr>
        <w:rPr>
          <w:lang w:val="fr-BE"/>
        </w:rPr>
      </w:pPr>
      <w:r>
        <w:rPr>
          <w:lang w:val="fr-BE"/>
        </w:rPr>
        <w:t>Il s’agit du LIVRE 8.</w:t>
      </w:r>
    </w:p>
    <w:p w14:paraId="0B4CC312" w14:textId="782FA470" w:rsidR="008C6B9D" w:rsidRDefault="008C6B9D">
      <w:pPr>
        <w:rPr>
          <w:lang w:val="fr-BE"/>
        </w:rPr>
      </w:pPr>
      <w:r>
        <w:rPr>
          <w:lang w:val="fr-BE"/>
        </w:rPr>
        <w:t>Les modifications principales sont :</w:t>
      </w:r>
    </w:p>
    <w:p w14:paraId="4274F34F" w14:textId="74157BE2" w:rsidR="008C6B9D" w:rsidRDefault="008C6B9D" w:rsidP="008C6B9D">
      <w:pPr>
        <w:pStyle w:val="Paragraphedeliste"/>
        <w:numPr>
          <w:ilvl w:val="0"/>
          <w:numId w:val="1"/>
        </w:numPr>
        <w:rPr>
          <w:lang w:val="fr-BE"/>
        </w:rPr>
      </w:pPr>
      <w:r>
        <w:rPr>
          <w:lang w:val="fr-BE"/>
        </w:rPr>
        <w:t>Introduction des éléments digitaux comme éléments de preuves acceptables ;</w:t>
      </w:r>
    </w:p>
    <w:p w14:paraId="362176B0" w14:textId="3A84C023" w:rsidR="008C6B9D" w:rsidRDefault="008C6B9D" w:rsidP="008C6B9D">
      <w:pPr>
        <w:pStyle w:val="Paragraphedeliste"/>
        <w:numPr>
          <w:ilvl w:val="0"/>
          <w:numId w:val="1"/>
        </w:numPr>
        <w:rPr>
          <w:lang w:val="fr-BE"/>
        </w:rPr>
      </w:pPr>
      <w:r>
        <w:rPr>
          <w:lang w:val="fr-BE"/>
        </w:rPr>
        <w:t>Suppression des prédominances de certains éléments de preuve par rapport à d’autres ;</w:t>
      </w:r>
    </w:p>
    <w:p w14:paraId="558FE220" w14:textId="1CA35ABB" w:rsidR="008C6B9D" w:rsidRDefault="008C6B9D" w:rsidP="008C6B9D">
      <w:pPr>
        <w:pStyle w:val="Paragraphedeliste"/>
        <w:numPr>
          <w:ilvl w:val="0"/>
          <w:numId w:val="1"/>
        </w:numPr>
        <w:rPr>
          <w:lang w:val="fr-BE"/>
        </w:rPr>
      </w:pPr>
      <w:r>
        <w:rPr>
          <w:lang w:val="fr-BE"/>
        </w:rPr>
        <w:t>Contrat acceptable ;</w:t>
      </w:r>
    </w:p>
    <w:p w14:paraId="4F4FEC26" w14:textId="039C942E" w:rsidR="008C6B9D" w:rsidRDefault="008C6B9D" w:rsidP="008C6B9D">
      <w:pPr>
        <w:rPr>
          <w:lang w:val="fr-BE"/>
        </w:rPr>
      </w:pPr>
      <w:r>
        <w:rPr>
          <w:lang w:val="fr-BE"/>
        </w:rPr>
        <w:t xml:space="preserve">Pour les éléments digitaux, un arrêt de la </w:t>
      </w:r>
      <w:r w:rsidR="002F2450">
        <w:rPr>
          <w:lang w:val="fr-BE"/>
        </w:rPr>
        <w:t>Cour</w:t>
      </w:r>
      <w:r>
        <w:rPr>
          <w:lang w:val="fr-BE"/>
        </w:rPr>
        <w:t xml:space="preserve"> de </w:t>
      </w:r>
      <w:r w:rsidR="002F2450">
        <w:rPr>
          <w:lang w:val="fr-BE"/>
        </w:rPr>
        <w:t>C</w:t>
      </w:r>
      <w:r>
        <w:rPr>
          <w:lang w:val="fr-BE"/>
        </w:rPr>
        <w:t>assation avait déjà clarifier cette acceptation comme élément de preuve mais ce n’était pas encore formaliser dans la loi…</w:t>
      </w:r>
    </w:p>
    <w:p w14:paraId="3677F7B0" w14:textId="300F201E" w:rsidR="008C6B9D" w:rsidRDefault="008C6B9D" w:rsidP="008C6B9D">
      <w:pPr>
        <w:rPr>
          <w:lang w:val="fr-BE"/>
        </w:rPr>
      </w:pPr>
      <w:r>
        <w:rPr>
          <w:lang w:val="fr-BE"/>
        </w:rPr>
        <w:t xml:space="preserve">Il est préférable qu’un contrat soit daté et signé avec la mention « lu et approuvé » mais ce n’est pas indispensable pour qu’il soit pris en compte comme preuve. </w:t>
      </w:r>
    </w:p>
    <w:p w14:paraId="774B05A7" w14:textId="540314B1" w:rsidR="00EF76C2" w:rsidRDefault="00EF76C2" w:rsidP="008C6B9D">
      <w:pPr>
        <w:rPr>
          <w:lang w:val="fr-BE"/>
        </w:rPr>
      </w:pPr>
      <w:r>
        <w:rPr>
          <w:lang w:val="fr-BE"/>
        </w:rPr>
        <w:t>Dorénavant, les contrats analogique</w:t>
      </w:r>
      <w:r w:rsidR="00515EE3">
        <w:rPr>
          <w:lang w:val="fr-BE"/>
        </w:rPr>
        <w:t>s</w:t>
      </w:r>
      <w:r>
        <w:rPr>
          <w:lang w:val="fr-BE"/>
        </w:rPr>
        <w:t xml:space="preserve"> et </w:t>
      </w:r>
      <w:r w:rsidR="00515EE3">
        <w:rPr>
          <w:lang w:val="fr-BE"/>
        </w:rPr>
        <w:t>digitaux sont acceptés.</w:t>
      </w:r>
    </w:p>
    <w:p w14:paraId="3058B1A9" w14:textId="11E147EA" w:rsidR="008C6B9D" w:rsidRDefault="008C6B9D" w:rsidP="008C6B9D">
      <w:pPr>
        <w:rPr>
          <w:lang w:val="fr-BE"/>
        </w:rPr>
      </w:pPr>
      <w:r>
        <w:rPr>
          <w:lang w:val="fr-BE"/>
        </w:rPr>
        <w:t>Il y a donc un assouplissement des règles concernant les éléments utilisés comme preuve. L’impact principal se fait au niveau du juge et de la façon dont il peut ou non prendre en compte certains éléments.</w:t>
      </w:r>
    </w:p>
    <w:p w14:paraId="586C0C27" w14:textId="15172D50" w:rsidR="008C6B9D" w:rsidRDefault="008C6B9D" w:rsidP="008C6B9D">
      <w:pPr>
        <w:rPr>
          <w:lang w:val="fr-BE"/>
        </w:rPr>
      </w:pPr>
      <w:r>
        <w:rPr>
          <w:lang w:val="fr-BE"/>
        </w:rPr>
        <w:t>En cas de non-transmission de certaines pièces, le juge peut imposer un renversement de la charge de la preuve</w:t>
      </w:r>
      <w:r w:rsidR="0096588E">
        <w:rPr>
          <w:lang w:val="fr-BE"/>
        </w:rPr>
        <w:t xml:space="preserve"> en lien avec l’Art 972 bis du C</w:t>
      </w:r>
      <w:r w:rsidR="00AB70BC">
        <w:rPr>
          <w:lang w:val="fr-BE"/>
        </w:rPr>
        <w:t>ode Judiciaire</w:t>
      </w:r>
      <w:r>
        <w:rPr>
          <w:lang w:val="fr-BE"/>
        </w:rPr>
        <w:t>.</w:t>
      </w:r>
    </w:p>
    <w:p w14:paraId="3A152653" w14:textId="5D92606F" w:rsidR="008C6B9D" w:rsidRDefault="008C6B9D" w:rsidP="008C6B9D">
      <w:pPr>
        <w:rPr>
          <w:lang w:val="fr-BE"/>
        </w:rPr>
      </w:pPr>
      <w:r>
        <w:rPr>
          <w:lang w:val="fr-BE"/>
        </w:rPr>
        <w:t>Exemple 1 : l’asymétrie des preuves : un patient qui a des douleurs suite à une intervention</w:t>
      </w:r>
      <w:r w:rsidR="002F2450">
        <w:rPr>
          <w:lang w:val="fr-BE"/>
        </w:rPr>
        <w:t>. Lui ne sait pas pourquoi alors que les médecins de l’hôpital le savent. Ils doivent transmettre les éléments de preuves. En tant que demandeur, il n’est pas nécessaire d’avoir un début de preuve car indiquer que cela peut être en lien avec l’intervention est suffisant au niveau de l’introduction de la demande d’expertise judiciaire.</w:t>
      </w:r>
    </w:p>
    <w:p w14:paraId="00996AEE" w14:textId="32202723" w:rsidR="002F2450" w:rsidRDefault="002F2450" w:rsidP="008C6B9D">
      <w:pPr>
        <w:rPr>
          <w:lang w:val="fr-BE"/>
        </w:rPr>
      </w:pPr>
      <w:r>
        <w:rPr>
          <w:lang w:val="fr-BE"/>
        </w:rPr>
        <w:t>Exemple 2 : un travailleur exposé à des bactéries sans qu’on sache que cela peut avoir un effet sur la santé. En cas de problème ultérieur, le simple fait de décrire la situation peut être suffisant pour obtenir une expertise judiciaire.</w:t>
      </w:r>
    </w:p>
    <w:p w14:paraId="4FC1C21B" w14:textId="33DA2C02" w:rsidR="002F2450" w:rsidRDefault="002F2450" w:rsidP="008C6B9D">
      <w:pPr>
        <w:rPr>
          <w:lang w:val="fr-BE"/>
        </w:rPr>
      </w:pPr>
      <w:r>
        <w:rPr>
          <w:lang w:val="fr-BE"/>
        </w:rPr>
        <w:t>Exemple 3 : une incertitude liée à un manque de connaissance scientifique mais qui peut se justifier par le bon sens peut être suffisant pour demander une expertise judiciaire.</w:t>
      </w:r>
    </w:p>
    <w:p w14:paraId="08518ABD" w14:textId="01433BFB" w:rsidR="00B10AC7" w:rsidRDefault="00B10AC7" w:rsidP="008C6B9D">
      <w:pPr>
        <w:rPr>
          <w:lang w:val="fr-BE"/>
        </w:rPr>
      </w:pPr>
      <w:r>
        <w:rPr>
          <w:lang w:val="fr-BE"/>
        </w:rPr>
        <w:t>La charge de la preuve peut aussi être inversée pour des questions de coût</w:t>
      </w:r>
      <w:r w:rsidR="0030069C">
        <w:rPr>
          <w:lang w:val="fr-BE"/>
        </w:rPr>
        <w:t xml:space="preserve"> (exemple des effets secondaires d’un médicament).</w:t>
      </w:r>
    </w:p>
    <w:p w14:paraId="35890884" w14:textId="13323615" w:rsidR="002F2450" w:rsidRDefault="002F2450" w:rsidP="008C6B9D">
      <w:pPr>
        <w:rPr>
          <w:lang w:val="fr-BE"/>
        </w:rPr>
      </w:pPr>
      <w:r>
        <w:rPr>
          <w:lang w:val="fr-BE"/>
        </w:rPr>
        <w:t>Le juge doit décider en fonction des preuves mais il y a souvent des incertitudes nécessitant des répartitions entre parties.</w:t>
      </w:r>
    </w:p>
    <w:p w14:paraId="6F6BC537" w14:textId="35516755" w:rsidR="002F2450" w:rsidRDefault="002F2450" w:rsidP="008C6B9D">
      <w:pPr>
        <w:rPr>
          <w:lang w:val="fr-BE"/>
        </w:rPr>
      </w:pPr>
      <w:r>
        <w:rPr>
          <w:lang w:val="fr-BE"/>
        </w:rPr>
        <w:t>A ce moment-là, il est important de ne plus noter dans nos rapports qu’il y a « une très haute probabilité » car cela implique la conviction de l’expert qui sera ou non retenue par le juge.</w:t>
      </w:r>
    </w:p>
    <w:p w14:paraId="0B42E8D6" w14:textId="5125A0D8" w:rsidR="002F2450" w:rsidRDefault="002F2450" w:rsidP="008C6B9D">
      <w:pPr>
        <w:rPr>
          <w:lang w:val="fr-BE"/>
        </w:rPr>
      </w:pPr>
      <w:r>
        <w:rPr>
          <w:lang w:val="fr-BE"/>
        </w:rPr>
        <w:t>Il est préférable d’indiquer les mots « raisonnablement certain » qui juridiquement font écho à ce qui est repris comme terminologie dans le livre 8.</w:t>
      </w:r>
    </w:p>
    <w:p w14:paraId="121E36BB" w14:textId="11E6DDE7" w:rsidR="002F2450" w:rsidRDefault="002F2450" w:rsidP="008C6B9D">
      <w:pPr>
        <w:rPr>
          <w:lang w:val="fr-BE"/>
        </w:rPr>
      </w:pPr>
      <w:r>
        <w:rPr>
          <w:lang w:val="fr-BE"/>
        </w:rPr>
        <w:lastRenderedPageBreak/>
        <w:t>On peut aussi utiliser la dénomination « d’un point de vue technique, il est raisonnablement certain… »</w:t>
      </w:r>
    </w:p>
    <w:p w14:paraId="02038EC4" w14:textId="77A333E3" w:rsidR="003F4AEB" w:rsidRDefault="003F4AEB" w:rsidP="008C6B9D">
      <w:pPr>
        <w:rPr>
          <w:lang w:val="fr-BE"/>
        </w:rPr>
      </w:pPr>
      <w:r>
        <w:rPr>
          <w:lang w:val="fr-BE"/>
        </w:rPr>
        <w:t xml:space="preserve">L’utilisation de ces termes empêchent les avocats dans leurs conclusions lorsque le rapport ne leur convient pas de ne pas pouvoir </w:t>
      </w:r>
      <w:r w:rsidR="003227B6">
        <w:rPr>
          <w:lang w:val="fr-BE"/>
        </w:rPr>
        <w:t>s’éloigner de la problématique réelle pour noyer le poisson…</w:t>
      </w:r>
    </w:p>
    <w:p w14:paraId="0163DED9" w14:textId="77777777" w:rsidR="00732E44" w:rsidRDefault="00B8131F" w:rsidP="008C6B9D">
      <w:pPr>
        <w:rPr>
          <w:lang w:val="fr-BE"/>
        </w:rPr>
      </w:pPr>
      <w:r>
        <w:rPr>
          <w:lang w:val="fr-BE"/>
        </w:rPr>
        <w:t>Cela est aussi nommé comme étant le principe de subsidiarité dans le Livre 8</w:t>
      </w:r>
      <w:r w:rsidR="002134A3">
        <w:rPr>
          <w:lang w:val="fr-BE"/>
        </w:rPr>
        <w:t xml:space="preserve">. </w:t>
      </w:r>
    </w:p>
    <w:p w14:paraId="28F20B4D" w14:textId="77777777" w:rsidR="00732E44" w:rsidRDefault="002134A3" w:rsidP="008C6B9D">
      <w:pPr>
        <w:rPr>
          <w:lang w:val="fr-BE"/>
        </w:rPr>
      </w:pPr>
      <w:r>
        <w:rPr>
          <w:lang w:val="fr-BE"/>
        </w:rPr>
        <w:t>Ce principe s’applique</w:t>
      </w:r>
      <w:r w:rsidR="00732E44">
        <w:rPr>
          <w:lang w:val="fr-BE"/>
        </w:rPr>
        <w:t> :</w:t>
      </w:r>
    </w:p>
    <w:p w14:paraId="6F6A1D25" w14:textId="77777777" w:rsidR="008C2EBA" w:rsidRDefault="008C2EBA" w:rsidP="00732E44">
      <w:pPr>
        <w:pStyle w:val="Paragraphedeliste"/>
        <w:numPr>
          <w:ilvl w:val="0"/>
          <w:numId w:val="1"/>
        </w:numPr>
        <w:rPr>
          <w:lang w:val="fr-BE"/>
        </w:rPr>
      </w:pPr>
      <w:r w:rsidRPr="00732E44">
        <w:rPr>
          <w:lang w:val="fr-BE"/>
        </w:rPr>
        <w:t>Quand</w:t>
      </w:r>
      <w:r w:rsidR="002134A3" w:rsidRPr="00732E44">
        <w:rPr>
          <w:lang w:val="fr-BE"/>
        </w:rPr>
        <w:t xml:space="preserve"> il n’y a pas assez de preuve</w:t>
      </w:r>
      <w:r>
        <w:rPr>
          <w:lang w:val="fr-BE"/>
        </w:rPr>
        <w:t> ;</w:t>
      </w:r>
    </w:p>
    <w:p w14:paraId="0DE7D519" w14:textId="19EAD7D3" w:rsidR="00B8131F" w:rsidRDefault="008C2EBA" w:rsidP="00A54B29">
      <w:pPr>
        <w:pStyle w:val="Paragraphedeliste"/>
        <w:numPr>
          <w:ilvl w:val="0"/>
          <w:numId w:val="1"/>
        </w:numPr>
        <w:rPr>
          <w:lang w:val="fr-BE"/>
        </w:rPr>
      </w:pPr>
      <w:r>
        <w:rPr>
          <w:lang w:val="fr-BE"/>
        </w:rPr>
        <w:t>Q</w:t>
      </w:r>
      <w:r w:rsidR="002134A3" w:rsidRPr="00732E44">
        <w:rPr>
          <w:lang w:val="fr-BE"/>
        </w:rPr>
        <w:t>ue</w:t>
      </w:r>
      <w:r w:rsidR="00A54B29">
        <w:rPr>
          <w:lang w:val="fr-BE"/>
        </w:rPr>
        <w:t xml:space="preserve"> les</w:t>
      </w:r>
      <w:r w:rsidR="002134A3" w:rsidRPr="00732E44">
        <w:rPr>
          <w:lang w:val="fr-BE"/>
        </w:rPr>
        <w:t xml:space="preserve"> </w:t>
      </w:r>
      <w:r w:rsidR="00732E44" w:rsidRPr="00732E44">
        <w:rPr>
          <w:lang w:val="fr-BE"/>
        </w:rPr>
        <w:t>vices sont cachés</w:t>
      </w:r>
      <w:r>
        <w:rPr>
          <w:lang w:val="fr-BE"/>
        </w:rPr>
        <w:t> </w:t>
      </w:r>
      <w:r w:rsidR="00A54B29">
        <w:rPr>
          <w:lang w:val="fr-BE"/>
        </w:rPr>
        <w:t>et</w:t>
      </w:r>
      <w:r w:rsidR="00732E44" w:rsidRPr="00A54B29">
        <w:rPr>
          <w:lang w:val="fr-BE"/>
        </w:rPr>
        <w:t xml:space="preserve"> trop </w:t>
      </w:r>
      <w:r w:rsidR="00A54B29">
        <w:rPr>
          <w:lang w:val="fr-BE"/>
        </w:rPr>
        <w:t>difficile</w:t>
      </w:r>
      <w:r w:rsidR="00732E44" w:rsidRPr="00A54B29">
        <w:rPr>
          <w:lang w:val="fr-BE"/>
        </w:rPr>
        <w:t xml:space="preserve"> d’y accéder pour le prouver</w:t>
      </w:r>
      <w:r w:rsidR="00693EE7" w:rsidRPr="00A54B29">
        <w:rPr>
          <w:lang w:val="fr-BE"/>
        </w:rPr>
        <w:t> ;</w:t>
      </w:r>
    </w:p>
    <w:p w14:paraId="32839081" w14:textId="511CD025" w:rsidR="00A54B29" w:rsidRDefault="00847B5C" w:rsidP="00A54B29">
      <w:pPr>
        <w:pStyle w:val="Paragraphedeliste"/>
        <w:numPr>
          <w:ilvl w:val="0"/>
          <w:numId w:val="1"/>
        </w:numPr>
        <w:rPr>
          <w:lang w:val="fr-BE"/>
        </w:rPr>
      </w:pPr>
      <w:r>
        <w:rPr>
          <w:lang w:val="fr-BE"/>
        </w:rPr>
        <w:t>Refus d’une partie de donner des infos ;</w:t>
      </w:r>
    </w:p>
    <w:p w14:paraId="51A8B4AE" w14:textId="3CD1408B" w:rsidR="00847B5C" w:rsidRDefault="00AB70BC" w:rsidP="00847B5C">
      <w:pPr>
        <w:rPr>
          <w:rFonts w:eastAsiaTheme="minorEastAsia"/>
          <w:lang w:val="fr-BE"/>
        </w:rPr>
      </w:pPr>
      <w:r>
        <w:rPr>
          <w:lang w:val="fr-BE"/>
        </w:rPr>
        <w:t>Les problèmes de transmission de pièces peuvent aussi être tranché sur base de l’Art 973</w:t>
      </w:r>
      <m:oMath>
        <m:r>
          <w:rPr>
            <w:rFonts w:ascii="Cambria Math" w:hAnsi="Cambria Math"/>
            <w:lang w:val="fr-BE"/>
          </w:rPr>
          <m:t>§</m:t>
        </m:r>
      </m:oMath>
      <w:r w:rsidR="00A71C90">
        <w:rPr>
          <w:rFonts w:eastAsiaTheme="minorEastAsia"/>
          <w:lang w:val="fr-BE"/>
        </w:rPr>
        <w:t>2 via une comparution devant le juge en chambre du conseil.</w:t>
      </w:r>
    </w:p>
    <w:p w14:paraId="2FE8BB2A" w14:textId="7AE57AF6" w:rsidR="00822AD6" w:rsidRDefault="00822AD6" w:rsidP="00847B5C">
      <w:pPr>
        <w:rPr>
          <w:rFonts w:eastAsiaTheme="minorEastAsia"/>
          <w:lang w:val="fr-BE"/>
        </w:rPr>
      </w:pPr>
      <w:r>
        <w:rPr>
          <w:rFonts w:eastAsiaTheme="minorEastAsia"/>
          <w:lang w:val="fr-BE"/>
        </w:rPr>
        <w:t>Cette « liberté » autorisée dans les moyens de la preuve s’applique aussi bien au niveau de</w:t>
      </w:r>
      <w:r w:rsidR="003160CA">
        <w:rPr>
          <w:rFonts w:eastAsiaTheme="minorEastAsia"/>
          <w:lang w:val="fr-BE"/>
        </w:rPr>
        <w:t>s relations entre entrepreneurs qu’entre entrepreneurs et citoyens (B2B et B2C).</w:t>
      </w:r>
    </w:p>
    <w:p w14:paraId="6E92C58C" w14:textId="7589C558" w:rsidR="00F72D72" w:rsidRDefault="00F72D72" w:rsidP="00847B5C">
      <w:pPr>
        <w:rPr>
          <w:rFonts w:eastAsiaTheme="minorEastAsia"/>
          <w:lang w:val="fr-BE"/>
        </w:rPr>
      </w:pPr>
      <w:r>
        <w:rPr>
          <w:rFonts w:eastAsiaTheme="minorEastAsia"/>
          <w:lang w:val="fr-BE"/>
        </w:rPr>
        <w:t xml:space="preserve">En droit administratif </w:t>
      </w:r>
      <w:r w:rsidR="004168C0">
        <w:rPr>
          <w:rFonts w:eastAsiaTheme="minorEastAsia"/>
          <w:lang w:val="fr-BE"/>
        </w:rPr>
        <w:t>(</w:t>
      </w:r>
      <w:r>
        <w:rPr>
          <w:rFonts w:eastAsiaTheme="minorEastAsia"/>
          <w:lang w:val="fr-BE"/>
        </w:rPr>
        <w:t>en lien avec les administrations</w:t>
      </w:r>
      <w:r w:rsidR="004168C0">
        <w:rPr>
          <w:rFonts w:eastAsiaTheme="minorEastAsia"/>
          <w:lang w:val="fr-BE"/>
        </w:rPr>
        <w:t>)</w:t>
      </w:r>
      <w:r>
        <w:rPr>
          <w:rFonts w:eastAsiaTheme="minorEastAsia"/>
          <w:lang w:val="fr-BE"/>
        </w:rPr>
        <w:t xml:space="preserve">, cette liberté ne s’applique pas car </w:t>
      </w:r>
      <w:r w:rsidR="004168C0">
        <w:rPr>
          <w:rFonts w:eastAsiaTheme="minorEastAsia"/>
          <w:lang w:val="fr-BE"/>
        </w:rPr>
        <w:t>un code spécifique est applicable.</w:t>
      </w:r>
    </w:p>
    <w:p w14:paraId="6531CB9D" w14:textId="77777777" w:rsidR="009E2F2D" w:rsidRDefault="009E2F2D" w:rsidP="009E2F2D">
      <w:pPr>
        <w:rPr>
          <w:rFonts w:eastAsiaTheme="minorEastAsia"/>
          <w:lang w:val="fr-BE"/>
        </w:rPr>
      </w:pPr>
      <w:r>
        <w:rPr>
          <w:rFonts w:eastAsiaTheme="minorEastAsia"/>
          <w:lang w:val="fr-BE"/>
        </w:rPr>
        <w:t>Des indications sérieuses et précises peuvent être considérés comme une preuve.</w:t>
      </w:r>
    </w:p>
    <w:p w14:paraId="5221A7A6" w14:textId="4D9FC3EA" w:rsidR="003160CA" w:rsidRDefault="00E90270" w:rsidP="00847B5C">
      <w:pPr>
        <w:rPr>
          <w:rFonts w:eastAsiaTheme="minorEastAsia"/>
          <w:lang w:val="fr-BE"/>
        </w:rPr>
      </w:pPr>
      <w:r>
        <w:rPr>
          <w:rFonts w:eastAsiaTheme="minorEastAsia"/>
          <w:lang w:val="fr-BE"/>
        </w:rPr>
        <w:t xml:space="preserve">Pour rappel, le rapport de l’Expert Judiciaire n’est qu’un avis remis au juge qui peut </w:t>
      </w:r>
      <w:r w:rsidR="003C75D6">
        <w:rPr>
          <w:rFonts w:eastAsiaTheme="minorEastAsia"/>
          <w:lang w:val="fr-BE"/>
        </w:rPr>
        <w:t>ne pas en tenir compte. Le rapport est donc considéré comme une présomption de faits</w:t>
      </w:r>
      <w:r w:rsidR="00094D22">
        <w:rPr>
          <w:rFonts w:eastAsiaTheme="minorEastAsia"/>
          <w:lang w:val="fr-BE"/>
        </w:rPr>
        <w:t xml:space="preserve"> qui est dans 90-95% des cas entérinés par le juge</w:t>
      </w:r>
      <w:r w:rsidR="003C75D6">
        <w:rPr>
          <w:rFonts w:eastAsiaTheme="minorEastAsia"/>
          <w:lang w:val="fr-BE"/>
        </w:rPr>
        <w:t>.</w:t>
      </w:r>
    </w:p>
    <w:p w14:paraId="68A2DDAD" w14:textId="1ED4F302" w:rsidR="003C15FC" w:rsidRDefault="003C15FC" w:rsidP="00847B5C">
      <w:pPr>
        <w:rPr>
          <w:rFonts w:eastAsiaTheme="minorEastAsia"/>
          <w:lang w:val="fr-BE"/>
        </w:rPr>
      </w:pPr>
      <w:r>
        <w:rPr>
          <w:rFonts w:eastAsiaTheme="minorEastAsia"/>
          <w:lang w:val="fr-BE"/>
        </w:rPr>
        <w:t>Pour les dommages de plus de 3.500€, il faut des écrits. Les témoignages ne peuvent être utilisés.</w:t>
      </w:r>
    </w:p>
    <w:p w14:paraId="2A30EB8E" w14:textId="3A6EC439" w:rsidR="00E578F1" w:rsidRDefault="00E578F1" w:rsidP="00847B5C">
      <w:pPr>
        <w:rPr>
          <w:rFonts w:eastAsiaTheme="minorEastAsia"/>
          <w:lang w:val="fr-BE"/>
        </w:rPr>
      </w:pPr>
      <w:r>
        <w:rPr>
          <w:rFonts w:eastAsiaTheme="minorEastAsia"/>
          <w:lang w:val="fr-BE"/>
        </w:rPr>
        <w:t>Sauf si la loi l’impose, il n’est pas nécessaire de prouver une contradiction.</w:t>
      </w:r>
    </w:p>
    <w:p w14:paraId="55A0187B" w14:textId="538EB760" w:rsidR="0030069C" w:rsidRDefault="0030069C" w:rsidP="00847B5C">
      <w:pPr>
        <w:rPr>
          <w:rFonts w:eastAsiaTheme="minorEastAsia"/>
          <w:lang w:val="fr-BE"/>
        </w:rPr>
      </w:pPr>
      <w:r>
        <w:rPr>
          <w:rFonts w:eastAsiaTheme="minorEastAsia"/>
          <w:lang w:val="fr-BE"/>
        </w:rPr>
        <w:t xml:space="preserve">De même qu’une probabilité suffisante </w:t>
      </w:r>
      <w:r w:rsidR="003F4AEB">
        <w:rPr>
          <w:rFonts w:eastAsiaTheme="minorEastAsia"/>
          <w:lang w:val="fr-BE"/>
        </w:rPr>
        <w:t>peut être suffisant pour justifier un lien causal.</w:t>
      </w:r>
    </w:p>
    <w:p w14:paraId="019EEDB8" w14:textId="096DFB7C" w:rsidR="00E578F1" w:rsidRDefault="00E578F1" w:rsidP="00847B5C">
      <w:pPr>
        <w:rPr>
          <w:rFonts w:eastAsiaTheme="minorEastAsia"/>
          <w:lang w:val="fr-BE"/>
        </w:rPr>
      </w:pPr>
      <w:r>
        <w:rPr>
          <w:rFonts w:eastAsiaTheme="minorEastAsia"/>
          <w:lang w:val="fr-BE"/>
        </w:rPr>
        <w:t>Si on nie quelque chose, la charge de la preuve s’inverse</w:t>
      </w:r>
      <w:r w:rsidR="00713CFC">
        <w:rPr>
          <w:rFonts w:eastAsiaTheme="minorEastAsia"/>
          <w:lang w:val="fr-BE"/>
        </w:rPr>
        <w:t>. Il vaut mieux ne pas réagir que de nier quelque chose.</w:t>
      </w:r>
    </w:p>
    <w:p w14:paraId="770B360A" w14:textId="672408C8" w:rsidR="00713CFC" w:rsidRDefault="00713CFC" w:rsidP="00847B5C">
      <w:pPr>
        <w:rPr>
          <w:rFonts w:eastAsiaTheme="minorEastAsia"/>
          <w:lang w:val="fr-BE"/>
        </w:rPr>
      </w:pPr>
      <w:r>
        <w:rPr>
          <w:rFonts w:eastAsiaTheme="minorEastAsia"/>
          <w:lang w:val="fr-BE"/>
        </w:rPr>
        <w:t>Attention que si un fait est énoncé par une partie et non contredit par l’autre partie, le juge peut entériner ce fait sans preuve</w:t>
      </w:r>
      <w:r w:rsidR="00A25EFD">
        <w:rPr>
          <w:rFonts w:eastAsiaTheme="minorEastAsia"/>
          <w:lang w:val="fr-BE"/>
        </w:rPr>
        <w:t xml:space="preserve"> sauf si c’est contraire à l’ordre public (voir arrêté Cour de Cassation 16/09/2022).</w:t>
      </w:r>
    </w:p>
    <w:p w14:paraId="66D214D8" w14:textId="01C044B6" w:rsidR="00A25EFD" w:rsidRDefault="0001118F" w:rsidP="00847B5C">
      <w:pPr>
        <w:rPr>
          <w:rFonts w:eastAsiaTheme="minorEastAsia"/>
          <w:lang w:val="fr-BE"/>
        </w:rPr>
      </w:pPr>
      <w:r>
        <w:rPr>
          <w:rFonts w:eastAsiaTheme="minorEastAsia"/>
          <w:lang w:val="fr-BE"/>
        </w:rPr>
        <w:t>Pour rappel, la charge de la preuve revient à la partie demanderesse et le défendeur pour être lib</w:t>
      </w:r>
      <w:r w:rsidR="0088240B">
        <w:rPr>
          <w:rFonts w:eastAsiaTheme="minorEastAsia"/>
          <w:lang w:val="fr-BE"/>
        </w:rPr>
        <w:t>é</w:t>
      </w:r>
      <w:r>
        <w:rPr>
          <w:rFonts w:eastAsiaTheme="minorEastAsia"/>
          <w:lang w:val="fr-BE"/>
        </w:rPr>
        <w:t xml:space="preserve">ré </w:t>
      </w:r>
      <w:r w:rsidR="0088240B">
        <w:rPr>
          <w:rFonts w:eastAsiaTheme="minorEastAsia"/>
          <w:lang w:val="fr-BE"/>
        </w:rPr>
        <w:t>doit pouvoir le contester de façon écrite.</w:t>
      </w:r>
    </w:p>
    <w:p w14:paraId="6F2BB3A6" w14:textId="431CB15B" w:rsidR="00A71C90" w:rsidRDefault="00456F84" w:rsidP="00847B5C">
      <w:pPr>
        <w:rPr>
          <w:rFonts w:eastAsiaTheme="minorEastAsia"/>
          <w:lang w:val="fr-BE"/>
        </w:rPr>
      </w:pPr>
      <w:r>
        <w:rPr>
          <w:rFonts w:eastAsiaTheme="minorEastAsia"/>
          <w:lang w:val="fr-BE"/>
        </w:rPr>
        <w:t xml:space="preserve">En droit des assurances, il y a un arrêt de la Cour de Cassation </w:t>
      </w:r>
      <w:r w:rsidR="00FC780E">
        <w:rPr>
          <w:rFonts w:eastAsiaTheme="minorEastAsia"/>
          <w:lang w:val="fr-BE"/>
        </w:rPr>
        <w:t>du 27/01/2022 qui indique qu’une compagnie d’assurance a été obligée de diffuser les rapports internes de ces conseils techniques</w:t>
      </w:r>
      <w:r w:rsidR="00635A3B">
        <w:rPr>
          <w:rFonts w:eastAsiaTheme="minorEastAsia"/>
          <w:lang w:val="fr-BE"/>
        </w:rPr>
        <w:t>.</w:t>
      </w:r>
    </w:p>
    <w:p w14:paraId="4F81A436" w14:textId="3A545FE2" w:rsidR="00635A3B" w:rsidRDefault="00635A3B" w:rsidP="00847B5C">
      <w:pPr>
        <w:rPr>
          <w:rFonts w:eastAsiaTheme="minorEastAsia"/>
          <w:lang w:val="fr-BE"/>
        </w:rPr>
      </w:pPr>
      <w:r>
        <w:rPr>
          <w:rFonts w:eastAsiaTheme="minorEastAsia"/>
          <w:lang w:val="fr-BE"/>
        </w:rPr>
        <w:t>Il en ressort un point d’attention concernant les analyses de risques transmises aux assurances.</w:t>
      </w:r>
    </w:p>
    <w:p w14:paraId="75C128C8" w14:textId="77777777" w:rsidR="00022A65" w:rsidRPr="00A71C90" w:rsidRDefault="00022A65" w:rsidP="00847B5C">
      <w:pPr>
        <w:rPr>
          <w:rFonts w:eastAsiaTheme="minorEastAsia"/>
          <w:lang w:val="fr-BE"/>
        </w:rPr>
      </w:pPr>
    </w:p>
    <w:p w14:paraId="6EC8252E" w14:textId="3B79533F" w:rsidR="00A71C90" w:rsidRDefault="00B378ED" w:rsidP="00847B5C">
      <w:pPr>
        <w:rPr>
          <w:rFonts w:eastAsiaTheme="minorEastAsia"/>
          <w:lang w:val="fr-BE"/>
        </w:rPr>
      </w:pPr>
      <w:r>
        <w:rPr>
          <w:rFonts w:eastAsiaTheme="minorEastAsia"/>
          <w:lang w:val="fr-BE"/>
        </w:rPr>
        <w:lastRenderedPageBreak/>
        <w:t xml:space="preserve">Au vu de cette évolution du droit de la preuve, la récusation de l’expert devient un argument à la mode pour essayer de </w:t>
      </w:r>
      <w:r w:rsidR="009A3E8F">
        <w:rPr>
          <w:rFonts w:eastAsiaTheme="minorEastAsia"/>
          <w:lang w:val="fr-BE"/>
        </w:rPr>
        <w:t>casser le travail de l’expert car les problèmes de respect de la procédure n’arrivent quasiment jamais plus tout comme les problèmes de prescriptions.</w:t>
      </w:r>
    </w:p>
    <w:p w14:paraId="1D5AC7AD" w14:textId="77777777" w:rsidR="00FD47CD" w:rsidRDefault="00BC2AED" w:rsidP="00847B5C">
      <w:pPr>
        <w:rPr>
          <w:rFonts w:eastAsiaTheme="minorEastAsia"/>
          <w:lang w:val="fr-BE"/>
        </w:rPr>
      </w:pPr>
      <w:r>
        <w:rPr>
          <w:rFonts w:eastAsiaTheme="minorEastAsia"/>
          <w:lang w:val="fr-BE"/>
        </w:rPr>
        <w:t xml:space="preserve">PS : n’hésitez pas à utiliser l’IA une fois votre avis provisoire fait et ce avant de le diffuser en lui posant les questions suivantes : </w:t>
      </w:r>
    </w:p>
    <w:p w14:paraId="64444561" w14:textId="40B0C621" w:rsidR="00FD47CD" w:rsidRDefault="00FD47CD" w:rsidP="00FD47CD">
      <w:pPr>
        <w:pStyle w:val="Paragraphedeliste"/>
        <w:numPr>
          <w:ilvl w:val="0"/>
          <w:numId w:val="2"/>
        </w:numPr>
        <w:rPr>
          <w:rFonts w:eastAsiaTheme="minorEastAsia"/>
          <w:lang w:val="fr-BE"/>
        </w:rPr>
      </w:pPr>
      <w:r w:rsidRPr="00FD47CD">
        <w:rPr>
          <w:rFonts w:eastAsiaTheme="minorEastAsia"/>
          <w:lang w:val="fr-BE"/>
        </w:rPr>
        <w:t>Toutes</w:t>
      </w:r>
      <w:r w:rsidR="00BC2AED" w:rsidRPr="00FD47CD">
        <w:rPr>
          <w:rFonts w:eastAsiaTheme="minorEastAsia"/>
          <w:lang w:val="fr-BE"/>
        </w:rPr>
        <w:t xml:space="preserve"> les questions de la mission trouvent-elles bien réponses ? </w:t>
      </w:r>
    </w:p>
    <w:p w14:paraId="233F7269" w14:textId="1C73E38B" w:rsidR="00FD47CD" w:rsidRDefault="00FD47CD" w:rsidP="00FD47CD">
      <w:pPr>
        <w:pStyle w:val="Paragraphedeliste"/>
        <w:numPr>
          <w:ilvl w:val="0"/>
          <w:numId w:val="2"/>
        </w:numPr>
        <w:rPr>
          <w:rFonts w:eastAsiaTheme="minorEastAsia"/>
          <w:lang w:val="fr-BE"/>
        </w:rPr>
      </w:pPr>
      <w:r w:rsidRPr="00FD47CD">
        <w:rPr>
          <w:rFonts w:eastAsiaTheme="minorEastAsia"/>
          <w:lang w:val="fr-BE"/>
        </w:rPr>
        <w:t>Quelle</w:t>
      </w:r>
      <w:r w:rsidR="00160AEC" w:rsidRPr="00FD47CD">
        <w:rPr>
          <w:rFonts w:eastAsiaTheme="minorEastAsia"/>
          <w:lang w:val="fr-BE"/>
        </w:rPr>
        <w:t xml:space="preserve"> analyse du rapport en fonction de quelle partie ? </w:t>
      </w:r>
    </w:p>
    <w:p w14:paraId="2FC20AAA" w14:textId="12025107" w:rsidR="00787666" w:rsidRPr="00FD47CD" w:rsidRDefault="00FD47CD" w:rsidP="00FD47CD">
      <w:pPr>
        <w:pStyle w:val="Paragraphedeliste"/>
        <w:numPr>
          <w:ilvl w:val="0"/>
          <w:numId w:val="2"/>
        </w:numPr>
        <w:rPr>
          <w:rFonts w:eastAsiaTheme="minorEastAsia"/>
          <w:lang w:val="fr-BE"/>
        </w:rPr>
      </w:pPr>
      <w:r w:rsidRPr="00FD47CD">
        <w:rPr>
          <w:rFonts w:eastAsiaTheme="minorEastAsia"/>
          <w:lang w:val="fr-BE"/>
        </w:rPr>
        <w:t>Quels</w:t>
      </w:r>
      <w:r w:rsidR="00160AEC" w:rsidRPr="00FD47CD">
        <w:rPr>
          <w:rFonts w:eastAsiaTheme="minorEastAsia"/>
          <w:lang w:val="fr-BE"/>
        </w:rPr>
        <w:t xml:space="preserve"> sont les problèmes et les points faibles du rapport ?</w:t>
      </w:r>
    </w:p>
    <w:sectPr w:rsidR="00787666" w:rsidRPr="00FD47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640C0"/>
    <w:multiLevelType w:val="hybridMultilevel"/>
    <w:tmpl w:val="D48A47D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2C4399E"/>
    <w:multiLevelType w:val="hybridMultilevel"/>
    <w:tmpl w:val="254AF998"/>
    <w:lvl w:ilvl="0" w:tplc="75E411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56752325">
    <w:abstractNumId w:val="1"/>
  </w:num>
  <w:num w:numId="2" w16cid:durableId="26411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8C6B9D"/>
    <w:rsid w:val="0001118F"/>
    <w:rsid w:val="00022A65"/>
    <w:rsid w:val="00094D22"/>
    <w:rsid w:val="000C03B8"/>
    <w:rsid w:val="00160AEC"/>
    <w:rsid w:val="002134A3"/>
    <w:rsid w:val="002E127B"/>
    <w:rsid w:val="002F2450"/>
    <w:rsid w:val="0030069C"/>
    <w:rsid w:val="003160CA"/>
    <w:rsid w:val="003227B6"/>
    <w:rsid w:val="003B6FB7"/>
    <w:rsid w:val="003C15FC"/>
    <w:rsid w:val="003C75D6"/>
    <w:rsid w:val="003F4AEB"/>
    <w:rsid w:val="004168C0"/>
    <w:rsid w:val="00456F84"/>
    <w:rsid w:val="00515EE3"/>
    <w:rsid w:val="005A4895"/>
    <w:rsid w:val="00635A3B"/>
    <w:rsid w:val="00693EE7"/>
    <w:rsid w:val="00713CFC"/>
    <w:rsid w:val="00732E44"/>
    <w:rsid w:val="00787666"/>
    <w:rsid w:val="00822AD6"/>
    <w:rsid w:val="00847B5C"/>
    <w:rsid w:val="0088240B"/>
    <w:rsid w:val="008C2EBA"/>
    <w:rsid w:val="008C6B9D"/>
    <w:rsid w:val="0096588E"/>
    <w:rsid w:val="009A3E8F"/>
    <w:rsid w:val="009E2F2D"/>
    <w:rsid w:val="00A25EFD"/>
    <w:rsid w:val="00A54B29"/>
    <w:rsid w:val="00A71C90"/>
    <w:rsid w:val="00AB70BC"/>
    <w:rsid w:val="00B10AC7"/>
    <w:rsid w:val="00B378ED"/>
    <w:rsid w:val="00B8131F"/>
    <w:rsid w:val="00BC2AED"/>
    <w:rsid w:val="00E578F1"/>
    <w:rsid w:val="00E6239F"/>
    <w:rsid w:val="00E90270"/>
    <w:rsid w:val="00EF76C2"/>
    <w:rsid w:val="00F72D72"/>
    <w:rsid w:val="00FA0E4A"/>
    <w:rsid w:val="00FC780E"/>
    <w:rsid w:val="00FD47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4683"/>
  <w15:chartTrackingRefBased/>
  <w15:docId w15:val="{48282ECD-5B48-499A-99E3-CA63B9AD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6B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8C6B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8C6B9D"/>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8C6B9D"/>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8C6B9D"/>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8C6B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6B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6B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6B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B9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8C6B9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8C6B9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8C6B9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8C6B9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8C6B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6B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6B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6B9D"/>
    <w:rPr>
      <w:rFonts w:eastAsiaTheme="majorEastAsia" w:cstheme="majorBidi"/>
      <w:color w:val="272727" w:themeColor="text1" w:themeTint="D8"/>
    </w:rPr>
  </w:style>
  <w:style w:type="paragraph" w:styleId="Titre">
    <w:name w:val="Title"/>
    <w:basedOn w:val="Normal"/>
    <w:next w:val="Normal"/>
    <w:link w:val="TitreCar"/>
    <w:uiPriority w:val="10"/>
    <w:qFormat/>
    <w:rsid w:val="008C6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6B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6B9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6B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6B9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C6B9D"/>
    <w:rPr>
      <w:i/>
      <w:iCs/>
      <w:color w:val="404040" w:themeColor="text1" w:themeTint="BF"/>
    </w:rPr>
  </w:style>
  <w:style w:type="paragraph" w:styleId="Paragraphedeliste">
    <w:name w:val="List Paragraph"/>
    <w:basedOn w:val="Normal"/>
    <w:uiPriority w:val="34"/>
    <w:qFormat/>
    <w:rsid w:val="008C6B9D"/>
    <w:pPr>
      <w:ind w:left="720"/>
      <w:contextualSpacing/>
    </w:pPr>
  </w:style>
  <w:style w:type="character" w:styleId="Accentuationintense">
    <w:name w:val="Intense Emphasis"/>
    <w:basedOn w:val="Policepardfaut"/>
    <w:uiPriority w:val="21"/>
    <w:qFormat/>
    <w:rsid w:val="008C6B9D"/>
    <w:rPr>
      <w:i/>
      <w:iCs/>
      <w:color w:val="365F91" w:themeColor="accent1" w:themeShade="BF"/>
    </w:rPr>
  </w:style>
  <w:style w:type="paragraph" w:styleId="Citationintense">
    <w:name w:val="Intense Quote"/>
    <w:basedOn w:val="Normal"/>
    <w:next w:val="Normal"/>
    <w:link w:val="CitationintenseCar"/>
    <w:uiPriority w:val="30"/>
    <w:qFormat/>
    <w:rsid w:val="008C6B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8C6B9D"/>
    <w:rPr>
      <w:i/>
      <w:iCs/>
      <w:color w:val="365F91" w:themeColor="accent1" w:themeShade="BF"/>
    </w:rPr>
  </w:style>
  <w:style w:type="character" w:styleId="Rfrenceintense">
    <w:name w:val="Intense Reference"/>
    <w:basedOn w:val="Policepardfaut"/>
    <w:uiPriority w:val="32"/>
    <w:qFormat/>
    <w:rsid w:val="008C6B9D"/>
    <w:rPr>
      <w:b/>
      <w:bCs/>
      <w:smallCaps/>
      <w:color w:val="365F91" w:themeColor="accent1" w:themeShade="BF"/>
      <w:spacing w:val="5"/>
    </w:rPr>
  </w:style>
  <w:style w:type="character" w:styleId="Textedelespacerserv">
    <w:name w:val="Placeholder Text"/>
    <w:basedOn w:val="Policepardfaut"/>
    <w:uiPriority w:val="99"/>
    <w:semiHidden/>
    <w:rsid w:val="00A71C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C9F91BCB65C418323AE23300B6CAF" ma:contentTypeVersion="17" ma:contentTypeDescription="Crée un document." ma:contentTypeScope="" ma:versionID="3462df3e5298bafa6f2a3b009fde432a">
  <xsd:schema xmlns:xsd="http://www.w3.org/2001/XMLSchema" xmlns:xs="http://www.w3.org/2001/XMLSchema" xmlns:p="http://schemas.microsoft.com/office/2006/metadata/properties" xmlns:ns2="26b7a80b-788f-4871-9cf9-4517f158e4b3" xmlns:ns3="7965eacf-5d21-45a7-9781-e72f39730dec" targetNamespace="http://schemas.microsoft.com/office/2006/metadata/properties" ma:root="true" ma:fieldsID="f9b160f5e2851be0feac8510c4aee30e" ns2:_="" ns3:_="">
    <xsd:import namespace="26b7a80b-788f-4871-9cf9-4517f158e4b3"/>
    <xsd:import namespace="7965eacf-5d21-45a7-9781-e72f39730d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7a80b-788f-4871-9cf9-4517f158e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85133413-90a9-4b65-96af-7f3275949d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65eacf-5d21-45a7-9781-e72f39730de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9d37e8-bcbc-40cb-a8a6-9391446b8d88}" ma:internalName="TaxCatchAll" ma:showField="CatchAllData" ma:web="7965eacf-5d21-45a7-9781-e72f39730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7a80b-788f-4871-9cf9-4517f158e4b3">
      <Terms xmlns="http://schemas.microsoft.com/office/infopath/2007/PartnerControls"/>
    </lcf76f155ced4ddcb4097134ff3c332f>
    <TaxCatchAll xmlns="7965eacf-5d21-45a7-9781-e72f39730dec" xsi:nil="true"/>
  </documentManagement>
</p:properties>
</file>

<file path=customXml/itemProps1.xml><?xml version="1.0" encoding="utf-8"?>
<ds:datastoreItem xmlns:ds="http://schemas.openxmlformats.org/officeDocument/2006/customXml" ds:itemID="{05EFEE88-80BE-4088-B41D-0A75BA80F20B}"/>
</file>

<file path=customXml/itemProps2.xml><?xml version="1.0" encoding="utf-8"?>
<ds:datastoreItem xmlns:ds="http://schemas.openxmlformats.org/officeDocument/2006/customXml" ds:itemID="{37EDECE7-8FAE-4264-BA2A-4A530EE46E51}"/>
</file>

<file path=customXml/itemProps3.xml><?xml version="1.0" encoding="utf-8"?>
<ds:datastoreItem xmlns:ds="http://schemas.openxmlformats.org/officeDocument/2006/customXml" ds:itemID="{C388862E-A2C7-4460-818B-13093A0F0196}"/>
</file>

<file path=docProps/app.xml><?xml version="1.0" encoding="utf-8"?>
<Properties xmlns="http://schemas.openxmlformats.org/officeDocument/2006/extended-properties" xmlns:vt="http://schemas.openxmlformats.org/officeDocument/2006/docPropsVTypes">
  <Template>Normal</Template>
  <TotalTime>49</TotalTime>
  <Pages>3</Pages>
  <Words>848</Words>
  <Characters>4665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Montfort</dc:creator>
  <cp:keywords/>
  <dc:description/>
  <cp:lastModifiedBy>Arnaud Montfort</cp:lastModifiedBy>
  <cp:revision>44</cp:revision>
  <dcterms:created xsi:type="dcterms:W3CDTF">2026-03-20T12:08:00Z</dcterms:created>
  <dcterms:modified xsi:type="dcterms:W3CDTF">2026-03-20T15:20:00Z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0x0101005A2C9F91BCB65C418323AE23300B6CAF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